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D13B" w14:textId="77777777" w:rsidR="001B518C" w:rsidRDefault="001B518C">
      <w:r>
        <w:t>Titolo del progetto formativo e di ricerca:</w:t>
      </w:r>
    </w:p>
    <w:p w14:paraId="3AF3B820" w14:textId="30F67E01" w:rsidR="00292CE2" w:rsidRPr="001B518C" w:rsidRDefault="00DB63E7">
      <w:pPr>
        <w:rPr>
          <w:b/>
        </w:rPr>
      </w:pPr>
      <w:r>
        <w:rPr>
          <w:b/>
        </w:rPr>
        <w:t>Terapia medica nutrizionale</w:t>
      </w:r>
      <w:r w:rsidR="003C787D">
        <w:rPr>
          <w:b/>
        </w:rPr>
        <w:t xml:space="preserve"> (TMN)</w:t>
      </w:r>
      <w:r>
        <w:rPr>
          <w:b/>
        </w:rPr>
        <w:t xml:space="preserve"> e educazione </w:t>
      </w:r>
      <w:r w:rsidR="003C787D">
        <w:rPr>
          <w:b/>
        </w:rPr>
        <w:t xml:space="preserve">al cambiamento dello stile di vita </w:t>
      </w:r>
      <w:r>
        <w:rPr>
          <w:b/>
        </w:rPr>
        <w:t>nell’obesità: nuove tendenze</w:t>
      </w:r>
      <w:r w:rsidR="008534BB">
        <w:rPr>
          <w:b/>
        </w:rPr>
        <w:t xml:space="preserve"> </w:t>
      </w:r>
      <w:r w:rsidR="00C82F69">
        <w:rPr>
          <w:b/>
        </w:rPr>
        <w:t xml:space="preserve">internazionali </w:t>
      </w:r>
      <w:r w:rsidR="008534BB">
        <w:rPr>
          <w:b/>
        </w:rPr>
        <w:t>e loro applicazione nel contesto italiano.</w:t>
      </w:r>
    </w:p>
    <w:p w14:paraId="32EB687C" w14:textId="77777777" w:rsidR="001B518C" w:rsidRDefault="001B518C" w:rsidP="00AB6714"/>
    <w:p w14:paraId="7E2018EB" w14:textId="7B4CAE86" w:rsidR="001B518C" w:rsidRDefault="001B518C" w:rsidP="00AB6714">
      <w:r w:rsidRPr="00AB6714">
        <w:rPr>
          <w:u w:val="single"/>
        </w:rPr>
        <w:t>Destinatario</w:t>
      </w:r>
      <w:r>
        <w:t xml:space="preserve">: la borsa di studio è riservata ad un Laureato </w:t>
      </w:r>
      <w:r w:rsidR="00DB63E7">
        <w:t xml:space="preserve">triennale </w:t>
      </w:r>
      <w:r>
        <w:t>in Dietistica</w:t>
      </w:r>
      <w:r w:rsidR="00DB63E7">
        <w:t xml:space="preserve"> </w:t>
      </w:r>
      <w:r>
        <w:t xml:space="preserve">da non oltre 24 mesi dalla data del bando ed ha lo scopo </w:t>
      </w:r>
      <w:r w:rsidRPr="00A1305C">
        <w:t>di formare il percipiente allo</w:t>
      </w:r>
      <w:r w:rsidRPr="00A1305C">
        <w:rPr>
          <w:b/>
          <w:i/>
        </w:rPr>
        <w:t xml:space="preserve"> svolgimento supervisionato di attività</w:t>
      </w:r>
      <w:r w:rsidR="005C1747">
        <w:rPr>
          <w:b/>
          <w:i/>
        </w:rPr>
        <w:t xml:space="preserve"> clinica e di</w:t>
      </w:r>
      <w:r w:rsidRPr="00A1305C">
        <w:rPr>
          <w:b/>
          <w:i/>
        </w:rPr>
        <w:t xml:space="preserve"> ricerca in ambito metabolico e nutrizionale clinico</w:t>
      </w:r>
      <w:r w:rsidR="00ED087B">
        <w:rPr>
          <w:b/>
          <w:i/>
        </w:rPr>
        <w:t xml:space="preserve"> </w:t>
      </w:r>
      <w:r w:rsidR="00ED087B">
        <w:t>presso la SSD Malattie del Metabolismo, Nutrizione Clinica e Centro Regionale di Riferimento per la Insufficienza Intestinale Benigna (IICB) diretta dal Prof. Loris Pironi</w:t>
      </w:r>
    </w:p>
    <w:p w14:paraId="3068EE27" w14:textId="5BDAE6F6" w:rsidR="0028233E" w:rsidRDefault="0028233E" w:rsidP="00AB6714">
      <w:r w:rsidRPr="00AB6714">
        <w:rPr>
          <w:u w:val="single"/>
        </w:rPr>
        <w:t>Background</w:t>
      </w:r>
      <w:r w:rsidR="00AB6714">
        <w:rPr>
          <w:u w:val="single"/>
        </w:rPr>
        <w:t xml:space="preserve"> del progetto</w:t>
      </w:r>
      <w:r>
        <w:t xml:space="preserve">: </w:t>
      </w:r>
      <w:r w:rsidR="008534BB">
        <w:t xml:space="preserve">la terapia medica nutrizionale </w:t>
      </w:r>
      <w:r w:rsidR="003C787D">
        <w:t xml:space="preserve">(TMN) </w:t>
      </w:r>
      <w:r w:rsidR="008534BB">
        <w:t xml:space="preserve">nell’obesità è state recentemente oggetto di review sistematiche sulla base delle quali sono state aggiornate le linee guida Europee </w:t>
      </w:r>
      <w:r w:rsidR="005C1747">
        <w:t xml:space="preserve">(EFAD/EASO) </w:t>
      </w:r>
      <w:r w:rsidR="008534BB">
        <w:t>ed internazionali [1-2]</w:t>
      </w:r>
      <w:r w:rsidR="002C4D8E">
        <w:t xml:space="preserve">. Queste includono la </w:t>
      </w:r>
      <w:r>
        <w:t>rivalutazione delle diete fortemente ipocaloriche (VLCD) ed in particolare delle diete chetogeniche fortemente ipocaloriche (VLCKD) nel trattamento dell’obesità e della sindrome metabolica</w:t>
      </w:r>
      <w:r w:rsidR="002C4D8E">
        <w:t xml:space="preserve"> [3], l’utilizzo di restrizione calorica temporizzata (time-restricted feeding o digiuno intermittente nelle varie forme), l’utilizzo di pasti sostitutivi, ma anche gli approcci non-dieting (intuitive eating, HAES health at every size) e di educazione terapeutica</w:t>
      </w:r>
      <w:r w:rsidR="003C787D">
        <w:t xml:space="preserve"> al cambiamento dello stile di vita</w:t>
      </w:r>
      <w:r w:rsidR="002C4D8E">
        <w:t xml:space="preserve"> </w:t>
      </w:r>
      <w:r w:rsidR="003C787D">
        <w:t xml:space="preserve">(lifestyle change) </w:t>
      </w:r>
      <w:r w:rsidR="002C4D8E">
        <w:t>ad indirizzo cognitivo-comportamentale [4]</w:t>
      </w:r>
      <w:r>
        <w:t xml:space="preserve">. </w:t>
      </w:r>
    </w:p>
    <w:p w14:paraId="77E829C0" w14:textId="166BC620" w:rsidR="002C4D8E" w:rsidRDefault="002C4D8E" w:rsidP="00AB6714">
      <w:r>
        <w:t xml:space="preserve">Le linee guida Europee [1] sottolineano </w:t>
      </w:r>
      <w:r w:rsidR="003C787D">
        <w:t xml:space="preserve">da una parte </w:t>
      </w:r>
      <w:r>
        <w:t>la necessità di contestualizzazione delle stesse a livello nazionale</w:t>
      </w:r>
      <w:r w:rsidR="003C787D">
        <w:t xml:space="preserve">, dall’altra la necessità di personalizzare il trattamento medico nutrizionale identificando la modalità migliore per ciascun paziente, con particolare attenzione al mantenimento del peso perso a lungo termine, ed alla insorgenza di possibili effetti collaterali (nutrizionali e psicologici) legati alle modalità dietetiche maggiormente restrittive. Un altro obiettivo pressante è quello di trovare modalità di integrazione della TMN e del lifestyle change con la terapia farmacologica per obesità. Infatti, </w:t>
      </w:r>
      <w:r w:rsidR="00972079">
        <w:t xml:space="preserve">ci sono forti preoccupazioni sul fatto che l’utilizzo in un prossimo futuro dei </w:t>
      </w:r>
      <w:r w:rsidR="003C787D">
        <w:t>farmaci di ultima generazione a causa del loro elevat</w:t>
      </w:r>
      <w:r w:rsidR="00972079">
        <w:t>o</w:t>
      </w:r>
      <w:r w:rsidR="003C787D">
        <w:t xml:space="preserve"> </w:t>
      </w:r>
      <w:r w:rsidR="00972079">
        <w:t>potere</w:t>
      </w:r>
      <w:r w:rsidR="003C787D">
        <w:t xml:space="preserve"> </w:t>
      </w:r>
      <w:r w:rsidR="00972079">
        <w:t>anoressizzante potrebbe indurre squilibri nutrizionali e sarcopenia qualora non associati all’intervento di TMN e lifestyle change [5].</w:t>
      </w:r>
    </w:p>
    <w:p w14:paraId="3F9C8826" w14:textId="436DC8FA" w:rsidR="005C1747" w:rsidRDefault="005C1747" w:rsidP="00AB6714">
      <w:r>
        <w:t xml:space="preserve">Vi è pertanto la necessità di aggiornare secondo le nuove linee-guida, i protocolli di TMN e le loro modalità applicative nell’ambito del PDTA obesità della SSD Pironi. E’inoltre stato elaborato a cura della SSD un protocollo di ricerca (BOLOBE) già sottoposto al Comitato Etico AVEC ed in corso di valutazione, allo scopo di identificare i fattori predittivi di risposta a breve, medio e lungo termine delle diverse modalità terapeutiche nel trattamento dell’obesità. </w:t>
      </w:r>
    </w:p>
    <w:p w14:paraId="57F5FA28" w14:textId="77777777" w:rsidR="00DB63E7" w:rsidRPr="00DB63E7" w:rsidRDefault="00DB63E7" w:rsidP="00AB6714">
      <w:pPr>
        <w:pStyle w:val="Paragrafoelenco"/>
        <w:numPr>
          <w:ilvl w:val="0"/>
          <w:numId w:val="2"/>
        </w:numPr>
        <w:rPr>
          <w:sz w:val="20"/>
          <w:szCs w:val="20"/>
        </w:rPr>
      </w:pPr>
      <w:r>
        <w:t>Hassapidou M, Vlassopoulos A, Kalliostra M, Govers E, Mulrooney H, Ells L, Salas XR, Muscogiuri G, Darleska TH, Busetto L, Yumuk VD, Dicker D, Halford J, Woodward E, Douglas P, Brown J, Brown T. European Association for the Study of Obesity Position Statement on Medical Nutrition Therapy for the Management of Overweight and Obesity in Adults Developed in Collaboration with the European Federation of the Associations of Dietitians. Obes Facts. 2023;16(1):11-28. doi: 10.1159/000528083.</w:t>
      </w:r>
    </w:p>
    <w:p w14:paraId="3E2964E1" w14:textId="77777777" w:rsidR="008534BB" w:rsidRPr="008534BB" w:rsidRDefault="008534BB" w:rsidP="008534BB">
      <w:pPr>
        <w:pStyle w:val="Paragrafoelenco"/>
        <w:numPr>
          <w:ilvl w:val="0"/>
          <w:numId w:val="2"/>
        </w:numPr>
        <w:rPr>
          <w:sz w:val="20"/>
          <w:szCs w:val="20"/>
        </w:rPr>
      </w:pPr>
      <w:r w:rsidRPr="008534BB">
        <w:t>Medical Nutrition Therapy (update 2022).</w:t>
      </w:r>
      <w:r>
        <w:t xml:space="preserve">Obesity Clinical Practice Guidelines. </w:t>
      </w:r>
      <w:r w:rsidRPr="008534BB">
        <w:t xml:space="preserve">https://obesitycanada.ca/guidelines/nutrition/ </w:t>
      </w:r>
    </w:p>
    <w:p w14:paraId="09744D4F" w14:textId="144D1A05" w:rsidR="008534BB" w:rsidRPr="002C4D8E" w:rsidRDefault="008534BB" w:rsidP="008534BB">
      <w:pPr>
        <w:pStyle w:val="Paragrafoelenco"/>
        <w:numPr>
          <w:ilvl w:val="0"/>
          <w:numId w:val="2"/>
        </w:numPr>
        <w:rPr>
          <w:sz w:val="20"/>
          <w:szCs w:val="20"/>
        </w:rPr>
      </w:pPr>
      <w:r>
        <w:t>Muscogiuri G, El Ghoch M, Colao A, Hassapidou M, Yumuk V, Busetto L; Obesity Management Task Force (OMTF) of the European Association for the Study of Obesity (EAS</w:t>
      </w:r>
      <w:r>
        <w:lastRenderedPageBreak/>
        <w:t>O). European Guidelines for Obesity Management in Adults with a Very Low-Calorie Ketogenic Diet: A Systematic Review and Meta-Analysis. Obes Facts. 2021;14(2):222-245. doi: 10.1159/000515381.</w:t>
      </w:r>
    </w:p>
    <w:p w14:paraId="6CEBF446" w14:textId="3C04AB27" w:rsidR="002C4D8E" w:rsidRDefault="002C4D8E" w:rsidP="008534BB">
      <w:pPr>
        <w:pStyle w:val="Paragrafoelenco"/>
        <w:numPr>
          <w:ilvl w:val="0"/>
          <w:numId w:val="2"/>
        </w:numPr>
        <w:rPr>
          <w:sz w:val="20"/>
          <w:szCs w:val="20"/>
        </w:rPr>
      </w:pPr>
      <w:r>
        <w:rPr>
          <w:sz w:val="20"/>
          <w:szCs w:val="20"/>
        </w:rPr>
        <w:t xml:space="preserve">Effective psychological and behavioural intervention in Obesity management. </w:t>
      </w:r>
      <w:r>
        <w:t xml:space="preserve">Obesity Clinical Practice Guidelines. </w:t>
      </w:r>
      <w:hyperlink r:id="rId5" w:history="1">
        <w:r w:rsidR="003C787D" w:rsidRPr="00242858">
          <w:rPr>
            <w:rStyle w:val="Collegamentoipertestuale"/>
            <w:sz w:val="20"/>
            <w:szCs w:val="20"/>
          </w:rPr>
          <w:t>https://obesitycanada.ca/guidelines/behavioural/</w:t>
        </w:r>
      </w:hyperlink>
    </w:p>
    <w:p w14:paraId="07E0EF79" w14:textId="7C7F9667" w:rsidR="008534BB" w:rsidRPr="005C1747" w:rsidRDefault="00972079" w:rsidP="005C1747">
      <w:pPr>
        <w:pStyle w:val="Paragrafoelenco"/>
        <w:numPr>
          <w:ilvl w:val="0"/>
          <w:numId w:val="2"/>
        </w:numPr>
        <w:rPr>
          <w:sz w:val="20"/>
          <w:szCs w:val="20"/>
        </w:rPr>
      </w:pPr>
      <w:r>
        <w:rPr>
          <w:sz w:val="20"/>
          <w:szCs w:val="20"/>
        </w:rPr>
        <w:t xml:space="preserve">Prillaman M. </w:t>
      </w:r>
      <w:r w:rsidRPr="00972079">
        <w:rPr>
          <w:sz w:val="20"/>
          <w:szCs w:val="20"/>
        </w:rPr>
        <w:t>Four key questions on the new wave of anti-obesity drugs</w:t>
      </w:r>
      <w:r>
        <w:rPr>
          <w:sz w:val="20"/>
          <w:szCs w:val="20"/>
        </w:rPr>
        <w:t xml:space="preserve">. </w:t>
      </w:r>
      <w:r w:rsidR="003C787D" w:rsidRPr="003C787D">
        <w:rPr>
          <w:sz w:val="20"/>
          <w:szCs w:val="20"/>
        </w:rPr>
        <w:t>Nature 620, 28-30 (2023). doi: https://doi.org/10.1038/d41586-023-02445-4</w:t>
      </w:r>
    </w:p>
    <w:p w14:paraId="25EF6B81" w14:textId="77777777" w:rsidR="00DB63E7" w:rsidRDefault="00DB63E7" w:rsidP="00DB63E7">
      <w:pPr>
        <w:pStyle w:val="Paragrafoelenco"/>
      </w:pPr>
    </w:p>
    <w:p w14:paraId="64540EB2" w14:textId="7FC439EE" w:rsidR="001B518C" w:rsidRPr="00DB63E7" w:rsidRDefault="001B518C" w:rsidP="00DB63E7">
      <w:pPr>
        <w:pStyle w:val="Paragrafoelenco"/>
        <w:rPr>
          <w:sz w:val="20"/>
          <w:szCs w:val="20"/>
        </w:rPr>
      </w:pPr>
      <w:r>
        <w:t>OBIETTIVI SPECIFICI DEL PROGETTO FORMATIVO</w:t>
      </w:r>
    </w:p>
    <w:p w14:paraId="07C4BCE0" w14:textId="09B554E3" w:rsidR="001B518C" w:rsidRDefault="00DE79A9" w:rsidP="00AB6714">
      <w:pPr>
        <w:pStyle w:val="Paragrafoelenco"/>
        <w:numPr>
          <w:ilvl w:val="0"/>
          <w:numId w:val="1"/>
        </w:numPr>
      </w:pPr>
      <w:r>
        <w:t>Sapere svolgere</w:t>
      </w:r>
      <w:r w:rsidR="0028207D">
        <w:t xml:space="preserve"> </w:t>
      </w:r>
      <w:r w:rsidR="00A1305C">
        <w:t xml:space="preserve">ricerche bibliografiche esaustive utilizzando diverse </w:t>
      </w:r>
      <w:r w:rsidR="0028207D">
        <w:t>banche dati</w:t>
      </w:r>
      <w:r w:rsidR="00A1305C">
        <w:t xml:space="preserve">: nello specifico effettuare </w:t>
      </w:r>
      <w:r w:rsidR="001B518C">
        <w:t>una revisione della letteratura in merito alla sicurezza ed efficacia dei diversi protocolli dietetici</w:t>
      </w:r>
      <w:r w:rsidR="001B518C" w:rsidRPr="001B518C">
        <w:t xml:space="preserve"> </w:t>
      </w:r>
      <w:r w:rsidR="001B518C">
        <w:t>chetogenici fortemente ipocalorici</w:t>
      </w:r>
      <w:r w:rsidR="001B518C" w:rsidRPr="001B518C">
        <w:t xml:space="preserve"> (VLCKD</w:t>
      </w:r>
      <w:r w:rsidR="00972079">
        <w:t xml:space="preserve">, di digiuno intermittente, dell’utilizzo di </w:t>
      </w:r>
      <w:r w:rsidR="005C1747">
        <w:t>pasti</w:t>
      </w:r>
      <w:r w:rsidR="00972079">
        <w:t xml:space="preserve"> sostituivi e degli approcci non-dieting</w:t>
      </w:r>
      <w:r w:rsidR="001B518C">
        <w:t xml:space="preserve"> nel trattamento dell’obesità e della sindrome metabolica</w:t>
      </w:r>
    </w:p>
    <w:p w14:paraId="218E9AAB" w14:textId="31EF5472" w:rsidR="001B518C" w:rsidRDefault="00DE79A9" w:rsidP="001B518C">
      <w:pPr>
        <w:pStyle w:val="Paragrafoelenco"/>
        <w:numPr>
          <w:ilvl w:val="0"/>
          <w:numId w:val="1"/>
        </w:numPr>
      </w:pPr>
      <w:r>
        <w:t>Sapere c</w:t>
      </w:r>
      <w:r w:rsidR="001B518C">
        <w:t xml:space="preserve">onfrontare gli attuali protocolli dietetici con le linee-guida </w:t>
      </w:r>
      <w:r w:rsidR="00972079">
        <w:t>EFAD/EASO</w:t>
      </w:r>
      <w:r w:rsidR="001B518C">
        <w:t xml:space="preserve"> </w:t>
      </w:r>
      <w:r w:rsidR="00972079">
        <w:t>ed effettuare delle proposte per contestualizzarli nell’ambito delle abitudini alimentari italiane</w:t>
      </w:r>
    </w:p>
    <w:p w14:paraId="30F9D480" w14:textId="198E9BDE" w:rsidR="005C1747" w:rsidRDefault="005C1747" w:rsidP="005C1747">
      <w:pPr>
        <w:pStyle w:val="Paragrafoelenco"/>
        <w:numPr>
          <w:ilvl w:val="0"/>
          <w:numId w:val="1"/>
        </w:numPr>
      </w:pPr>
      <w:r>
        <w:t>Raccogliere dati sul comportamento e sulle abitudini alimentari e stimare l’apporto di energia, nutrienti e altri componenti alimentari nei soggetti affetti da obesità</w:t>
      </w:r>
    </w:p>
    <w:p w14:paraId="01E0C005" w14:textId="77777777" w:rsidR="000B1ADC" w:rsidRDefault="005C1747" w:rsidP="005C1747">
      <w:pPr>
        <w:pStyle w:val="Paragrafoelenco"/>
        <w:numPr>
          <w:ilvl w:val="0"/>
          <w:numId w:val="1"/>
        </w:numPr>
      </w:pPr>
      <w:r>
        <w:t>Eseguire la valutazione antropometrica e di composizione corporea e analizzare i dati biochimici e strumentali di interesse nutrizionale</w:t>
      </w:r>
      <w:r w:rsidR="000B1ADC">
        <w:t xml:space="preserve"> negli stessi.</w:t>
      </w:r>
      <w:r w:rsidR="000B1ADC" w:rsidRPr="000B1ADC">
        <w:t xml:space="preserve"> </w:t>
      </w:r>
    </w:p>
    <w:p w14:paraId="4695AE6D" w14:textId="4F0E97E3" w:rsidR="005C1747" w:rsidRDefault="000B1ADC" w:rsidP="005C1747">
      <w:pPr>
        <w:pStyle w:val="Paragrafoelenco"/>
        <w:numPr>
          <w:ilvl w:val="0"/>
          <w:numId w:val="1"/>
        </w:numPr>
      </w:pPr>
      <w:r>
        <w:t>Valutare la motivazione al cambiamento.</w:t>
      </w:r>
    </w:p>
    <w:p w14:paraId="13DEE0B5" w14:textId="59B36D5B" w:rsidR="000B1ADC" w:rsidRDefault="000B1ADC" w:rsidP="000B1ADC">
      <w:pPr>
        <w:pStyle w:val="Paragrafoelenco"/>
        <w:numPr>
          <w:ilvl w:val="0"/>
          <w:numId w:val="1"/>
        </w:numPr>
      </w:pPr>
      <w:r>
        <w:t>Elaborare ed implementare il piano dietetico e documentare l’intervento nutrizionale</w:t>
      </w:r>
    </w:p>
    <w:p w14:paraId="4EB6B038" w14:textId="2A14505C" w:rsidR="005C1747" w:rsidRDefault="000B1ADC" w:rsidP="000B1ADC">
      <w:pPr>
        <w:pStyle w:val="Paragrafoelenco"/>
        <w:numPr>
          <w:ilvl w:val="0"/>
          <w:numId w:val="1"/>
        </w:numPr>
      </w:pPr>
      <w:r>
        <w:t xml:space="preserve">Svolgere interventi di counseling di modifica dello stile di vita individuali ed in gruppo. </w:t>
      </w:r>
    </w:p>
    <w:p w14:paraId="326369B7" w14:textId="77777777" w:rsidR="00A1305C" w:rsidRDefault="00DE79A9" w:rsidP="001B518C">
      <w:pPr>
        <w:pStyle w:val="Paragrafoelenco"/>
        <w:numPr>
          <w:ilvl w:val="0"/>
          <w:numId w:val="1"/>
        </w:numPr>
      </w:pPr>
      <w:r>
        <w:t>Partecipare</w:t>
      </w:r>
      <w:r w:rsidR="00A1305C">
        <w:t xml:space="preserve"> attiva</w:t>
      </w:r>
      <w:r>
        <w:t>mente</w:t>
      </w:r>
      <w:r w:rsidR="00A1305C">
        <w:t xml:space="preserve"> all’ambulatorio multidisciplinare clinico e di ricerca per pazienti affetti da obesità e sindrome metabolica sviluppando le abilità di lavoro in equipe inclusa la discussione dei casi clinici</w:t>
      </w:r>
    </w:p>
    <w:p w14:paraId="2ADB6A6C" w14:textId="4F6CB907" w:rsidR="00A1305C" w:rsidRDefault="00DE79A9" w:rsidP="001B518C">
      <w:pPr>
        <w:pStyle w:val="Paragrafoelenco"/>
        <w:numPr>
          <w:ilvl w:val="0"/>
          <w:numId w:val="1"/>
        </w:numPr>
      </w:pPr>
      <w:r>
        <w:t>S</w:t>
      </w:r>
      <w:r w:rsidR="00A1305C">
        <w:t>volg</w:t>
      </w:r>
      <w:r w:rsidR="000B1ADC">
        <w:t>ere</w:t>
      </w:r>
      <w:r w:rsidR="00A1305C">
        <w:t xml:space="preserve"> </w:t>
      </w:r>
      <w:r w:rsidR="000B1ADC">
        <w:t xml:space="preserve">in modo </w:t>
      </w:r>
      <w:r>
        <w:t>supervisionato</w:t>
      </w:r>
      <w:r w:rsidR="000B1ADC">
        <w:t xml:space="preserve"> il</w:t>
      </w:r>
      <w:r w:rsidR="00A1305C">
        <w:t xml:space="preserve"> protocollo di ricerca sopradescritto</w:t>
      </w:r>
      <w:r>
        <w:t xml:space="preserve"> per quanto di competenza del Dietista</w:t>
      </w:r>
      <w:r w:rsidR="000B1ADC">
        <w:t>, inclusa la</w:t>
      </w:r>
      <w:r w:rsidR="00A1305C">
        <w:t xml:space="preserve"> </w:t>
      </w:r>
      <w:r w:rsidR="0028207D">
        <w:t>assistenza alla elaborazione</w:t>
      </w:r>
      <w:r w:rsidR="000B1ADC">
        <w:t xml:space="preserve"> ed al data entry</w:t>
      </w:r>
      <w:r w:rsidR="0028207D">
        <w:t xml:space="preserve"> dei case report form elettronici.</w:t>
      </w:r>
    </w:p>
    <w:p w14:paraId="3E6F1A51" w14:textId="72FC203F" w:rsidR="00C82F69" w:rsidRDefault="0028207D" w:rsidP="00C82F69">
      <w:pPr>
        <w:pStyle w:val="Paragrafoelenco"/>
        <w:numPr>
          <w:ilvl w:val="0"/>
          <w:numId w:val="1"/>
        </w:numPr>
      </w:pPr>
      <w:r>
        <w:t>Imparare a</w:t>
      </w:r>
      <w:r w:rsidR="000B1ADC">
        <w:t>d analizzare e</w:t>
      </w:r>
      <w:r>
        <w:t xml:space="preserve"> presentare i risultati della ricerca: </w:t>
      </w:r>
      <w:r w:rsidR="000B1ADC">
        <w:t xml:space="preserve">acquisizione delle basi di analisi statistica descrittiva ed inferenziale, </w:t>
      </w:r>
      <w:r w:rsidR="00ED087B">
        <w:t>stesura di abstract in lingua</w:t>
      </w:r>
      <w:r w:rsidR="000B1ADC">
        <w:t xml:space="preserve"> italiana ed</w:t>
      </w:r>
      <w:r w:rsidR="00ED087B">
        <w:t xml:space="preserve"> inglese inerenti i dati raccolti ed analizzati</w:t>
      </w:r>
      <w:r w:rsidR="00C82F69">
        <w:t xml:space="preserve"> </w:t>
      </w:r>
    </w:p>
    <w:p w14:paraId="1951DA68" w14:textId="77777777" w:rsidR="00C82F69" w:rsidRDefault="00C82F69" w:rsidP="00C82F69"/>
    <w:p w14:paraId="0C3F650B" w14:textId="5094DD54" w:rsidR="00DE79A9" w:rsidRDefault="0028207D" w:rsidP="0028207D">
      <w:r>
        <w:t>Durata</w:t>
      </w:r>
      <w:r w:rsidR="0025288A">
        <w:t xml:space="preserve"> prevista</w:t>
      </w:r>
      <w:r>
        <w:t xml:space="preserve"> del progetto formativo: 12 mesi</w:t>
      </w:r>
    </w:p>
    <w:p w14:paraId="77142166" w14:textId="12E10AFF" w:rsidR="000D4ACB" w:rsidRDefault="000D4ACB" w:rsidP="0028207D">
      <w:r>
        <w:t>Requisit</w:t>
      </w:r>
      <w:r w:rsidR="00C82F69">
        <w:t>o</w:t>
      </w:r>
      <w:r>
        <w:t xml:space="preserve"> essenzial</w:t>
      </w:r>
      <w:r w:rsidR="00C82F69">
        <w:t>e</w:t>
      </w:r>
      <w:r>
        <w:t xml:space="preserve"> </w:t>
      </w:r>
      <w:r w:rsidR="00C82F69">
        <w:t>è</w:t>
      </w:r>
      <w:r>
        <w:t xml:space="preserve"> rappresentat</w:t>
      </w:r>
      <w:r w:rsidR="00C82F69">
        <w:t>o</w:t>
      </w:r>
      <w:r>
        <w:t xml:space="preserve"> dalla conoscenza </w:t>
      </w:r>
      <w:r w:rsidR="000B1ADC">
        <w:t xml:space="preserve">operativa </w:t>
      </w:r>
      <w:r w:rsidR="00C82F69">
        <w:t xml:space="preserve">in ambito scientifico </w:t>
      </w:r>
      <w:r>
        <w:t>della lingua inglese.</w:t>
      </w:r>
    </w:p>
    <w:p w14:paraId="1DBDAD6C" w14:textId="77777777" w:rsidR="001B518C" w:rsidRDefault="001B518C"/>
    <w:p w14:paraId="10B2D603" w14:textId="77777777" w:rsidR="001B518C" w:rsidRDefault="001B518C"/>
    <w:p w14:paraId="37C8F965" w14:textId="77777777" w:rsidR="001B518C" w:rsidRDefault="001B518C"/>
    <w:p w14:paraId="34147C65" w14:textId="77777777" w:rsidR="001B518C" w:rsidRDefault="001B518C"/>
    <w:sectPr w:rsidR="001B5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719BE"/>
    <w:multiLevelType w:val="hybridMultilevel"/>
    <w:tmpl w:val="B04E2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39439C"/>
    <w:multiLevelType w:val="hybridMultilevel"/>
    <w:tmpl w:val="6714EF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9795506">
    <w:abstractNumId w:val="0"/>
  </w:num>
  <w:num w:numId="2" w16cid:durableId="400175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8C"/>
    <w:rsid w:val="000B1ADC"/>
    <w:rsid w:val="000D4ACB"/>
    <w:rsid w:val="001B518C"/>
    <w:rsid w:val="00245ED5"/>
    <w:rsid w:val="0025288A"/>
    <w:rsid w:val="0028207D"/>
    <w:rsid w:val="0028233E"/>
    <w:rsid w:val="002C4D8E"/>
    <w:rsid w:val="003C787D"/>
    <w:rsid w:val="00450DE2"/>
    <w:rsid w:val="005C1747"/>
    <w:rsid w:val="008534BB"/>
    <w:rsid w:val="00972079"/>
    <w:rsid w:val="00A1305C"/>
    <w:rsid w:val="00AB6714"/>
    <w:rsid w:val="00BA437D"/>
    <w:rsid w:val="00BC4542"/>
    <w:rsid w:val="00C82F69"/>
    <w:rsid w:val="00CC1E98"/>
    <w:rsid w:val="00D8763F"/>
    <w:rsid w:val="00DB63E7"/>
    <w:rsid w:val="00DE79A9"/>
    <w:rsid w:val="00E61E06"/>
    <w:rsid w:val="00ED087B"/>
    <w:rsid w:val="00F05C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12CE"/>
  <w15:docId w15:val="{7C373922-630A-43F6-A37E-98F1FDED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20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link w:val="Titolo4Carattere"/>
    <w:uiPriority w:val="9"/>
    <w:qFormat/>
    <w:rsid w:val="008534B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518C"/>
    <w:pPr>
      <w:ind w:left="720"/>
      <w:contextualSpacing/>
    </w:pPr>
  </w:style>
  <w:style w:type="character" w:customStyle="1" w:styleId="Titolo4Carattere">
    <w:name w:val="Titolo 4 Carattere"/>
    <w:basedOn w:val="Carpredefinitoparagrafo"/>
    <w:link w:val="Titolo4"/>
    <w:uiPriority w:val="9"/>
    <w:rsid w:val="008534BB"/>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3C787D"/>
    <w:rPr>
      <w:color w:val="0000FF" w:themeColor="hyperlink"/>
      <w:u w:val="single"/>
    </w:rPr>
  </w:style>
  <w:style w:type="character" w:styleId="Menzionenonrisolta">
    <w:name w:val="Unresolved Mention"/>
    <w:basedOn w:val="Carpredefinitoparagrafo"/>
    <w:uiPriority w:val="99"/>
    <w:semiHidden/>
    <w:unhideWhenUsed/>
    <w:rsid w:val="003C787D"/>
    <w:rPr>
      <w:color w:val="605E5C"/>
      <w:shd w:val="clear" w:color="auto" w:fill="E1DFDD"/>
    </w:rPr>
  </w:style>
  <w:style w:type="character" w:customStyle="1" w:styleId="Titolo1Carattere">
    <w:name w:val="Titolo 1 Carattere"/>
    <w:basedOn w:val="Carpredefinitoparagrafo"/>
    <w:link w:val="Titolo1"/>
    <w:uiPriority w:val="9"/>
    <w:rsid w:val="00972079"/>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semiHidden/>
    <w:unhideWhenUsed/>
    <w:rsid w:val="00C82F6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20660">
      <w:bodyDiv w:val="1"/>
      <w:marLeft w:val="0"/>
      <w:marRight w:val="0"/>
      <w:marTop w:val="0"/>
      <w:marBottom w:val="0"/>
      <w:divBdr>
        <w:top w:val="none" w:sz="0" w:space="0" w:color="auto"/>
        <w:left w:val="none" w:sz="0" w:space="0" w:color="auto"/>
        <w:bottom w:val="none" w:sz="0" w:space="0" w:color="auto"/>
        <w:right w:val="none" w:sz="0" w:space="0" w:color="auto"/>
      </w:divBdr>
    </w:div>
    <w:div w:id="1043552754">
      <w:bodyDiv w:val="1"/>
      <w:marLeft w:val="0"/>
      <w:marRight w:val="0"/>
      <w:marTop w:val="0"/>
      <w:marBottom w:val="0"/>
      <w:divBdr>
        <w:top w:val="none" w:sz="0" w:space="0" w:color="auto"/>
        <w:left w:val="none" w:sz="0" w:space="0" w:color="auto"/>
        <w:bottom w:val="none" w:sz="0" w:space="0" w:color="auto"/>
        <w:right w:val="none" w:sz="0" w:space="0" w:color="auto"/>
      </w:divBdr>
    </w:div>
    <w:div w:id="1072119272">
      <w:bodyDiv w:val="1"/>
      <w:marLeft w:val="0"/>
      <w:marRight w:val="0"/>
      <w:marTop w:val="0"/>
      <w:marBottom w:val="0"/>
      <w:divBdr>
        <w:top w:val="none" w:sz="0" w:space="0" w:color="auto"/>
        <w:left w:val="none" w:sz="0" w:space="0" w:color="auto"/>
        <w:bottom w:val="none" w:sz="0" w:space="0" w:color="auto"/>
        <w:right w:val="none" w:sz="0" w:space="0" w:color="auto"/>
      </w:divBdr>
    </w:div>
    <w:div w:id="1637754306">
      <w:bodyDiv w:val="1"/>
      <w:marLeft w:val="0"/>
      <w:marRight w:val="0"/>
      <w:marTop w:val="0"/>
      <w:marBottom w:val="0"/>
      <w:divBdr>
        <w:top w:val="none" w:sz="0" w:space="0" w:color="auto"/>
        <w:left w:val="none" w:sz="0" w:space="0" w:color="auto"/>
        <w:bottom w:val="none" w:sz="0" w:space="0" w:color="auto"/>
        <w:right w:val="none" w:sz="0" w:space="0" w:color="auto"/>
      </w:divBdr>
    </w:div>
    <w:div w:id="19305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esitycanada.ca/guidelines/behavioura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Policlinico S.Orsola-Malpighi</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Maria Letizia Petroni</cp:lastModifiedBy>
  <cp:revision>2</cp:revision>
  <dcterms:created xsi:type="dcterms:W3CDTF">2023-08-23T06:05:00Z</dcterms:created>
  <dcterms:modified xsi:type="dcterms:W3CDTF">2023-08-23T06:05:00Z</dcterms:modified>
</cp:coreProperties>
</file>